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00D4" w:rsidRPr="00D200D4" w:rsidRDefault="00D200D4" w:rsidP="00D200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D200D4" w:rsidRDefault="00D200D4" w:rsidP="0005724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D200D4">
        <w:rPr>
          <w:rFonts w:ascii="Times New Roman" w:hAnsi="Times New Roman" w:cs="Times New Roman"/>
          <w:color w:val="000000"/>
          <w:sz w:val="28"/>
          <w:szCs w:val="28"/>
        </w:rPr>
        <w:t xml:space="preserve">SCHEDA </w:t>
      </w:r>
      <w:proofErr w:type="spellStart"/>
      <w:r w:rsidRPr="00D200D4">
        <w:rPr>
          <w:rFonts w:ascii="Times New Roman" w:hAnsi="Times New Roman" w:cs="Times New Roman"/>
          <w:color w:val="000000"/>
          <w:sz w:val="28"/>
          <w:szCs w:val="28"/>
        </w:rPr>
        <w:t>DI</w:t>
      </w:r>
      <w:proofErr w:type="spellEnd"/>
      <w:r w:rsidRPr="00D200D4">
        <w:rPr>
          <w:rFonts w:ascii="Times New Roman" w:hAnsi="Times New Roman" w:cs="Times New Roman"/>
          <w:color w:val="000000"/>
          <w:sz w:val="28"/>
          <w:szCs w:val="28"/>
        </w:rPr>
        <w:t xml:space="preserve"> PROGRAMMAZIONE PER COMPETENZE DISCIPLINARI</w:t>
      </w:r>
    </w:p>
    <w:p w:rsidR="00D200D4" w:rsidRPr="00D200D4" w:rsidRDefault="00D200D4" w:rsidP="0005724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D200D4" w:rsidRDefault="00D200D4" w:rsidP="00057240">
      <w:pPr>
        <w:pStyle w:val="Defaul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200D4">
        <w:rPr>
          <w:rFonts w:ascii="Times New Roman" w:hAnsi="Times New Roman" w:cs="Times New Roman"/>
          <w:b/>
          <w:bCs/>
          <w:sz w:val="28"/>
          <w:szCs w:val="28"/>
        </w:rPr>
        <w:t>STORIA CLASSE III SCUOLA PR</w:t>
      </w:r>
      <w:r w:rsidR="00F353E9">
        <w:rPr>
          <w:rFonts w:ascii="Times New Roman" w:hAnsi="Times New Roman" w:cs="Times New Roman"/>
          <w:b/>
          <w:bCs/>
          <w:sz w:val="28"/>
          <w:szCs w:val="28"/>
        </w:rPr>
        <w:t>IMARIA</w:t>
      </w:r>
    </w:p>
    <w:p w:rsidR="00D200D4" w:rsidRDefault="00D200D4" w:rsidP="00D200D4">
      <w:pPr>
        <w:pStyle w:val="Default"/>
      </w:pPr>
    </w:p>
    <w:tbl>
      <w:tblPr>
        <w:tblStyle w:val="Grigliatabella"/>
        <w:tblW w:w="0" w:type="auto"/>
        <w:tblLayout w:type="fixed"/>
        <w:tblLook w:val="0000"/>
      </w:tblPr>
      <w:tblGrid>
        <w:gridCol w:w="4788"/>
        <w:gridCol w:w="4788"/>
        <w:gridCol w:w="4788"/>
      </w:tblGrid>
      <w:tr w:rsidR="00D200D4" w:rsidTr="00D200D4">
        <w:trPr>
          <w:trHeight w:val="112"/>
        </w:trPr>
        <w:tc>
          <w:tcPr>
            <w:tcW w:w="14364" w:type="dxa"/>
            <w:gridSpan w:val="3"/>
          </w:tcPr>
          <w:p w:rsidR="00D200D4" w:rsidRDefault="00D200D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AREA STORICO -GEOGRAFICO SOCIALE </w:t>
            </w:r>
          </w:p>
        </w:tc>
      </w:tr>
      <w:tr w:rsidR="00D200D4" w:rsidTr="00D200D4">
        <w:trPr>
          <w:trHeight w:val="250"/>
        </w:trPr>
        <w:tc>
          <w:tcPr>
            <w:tcW w:w="4788" w:type="dxa"/>
          </w:tcPr>
          <w:p w:rsidR="00D200D4" w:rsidRDefault="00D200D4" w:rsidP="00D200D4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>Competenze</w:t>
            </w:r>
          </w:p>
        </w:tc>
        <w:tc>
          <w:tcPr>
            <w:tcW w:w="4788" w:type="dxa"/>
          </w:tcPr>
          <w:p w:rsidR="00D200D4" w:rsidRDefault="00D200D4" w:rsidP="00D200D4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>Abilità specifiche</w:t>
            </w:r>
          </w:p>
        </w:tc>
        <w:tc>
          <w:tcPr>
            <w:tcW w:w="4788" w:type="dxa"/>
          </w:tcPr>
          <w:p w:rsidR="00D200D4" w:rsidRDefault="00D200D4" w:rsidP="00D200D4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>Nuclei tematici</w:t>
            </w:r>
          </w:p>
          <w:p w:rsidR="00D200D4" w:rsidRDefault="00D200D4" w:rsidP="00D200D4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>(conoscenze)</w:t>
            </w:r>
          </w:p>
        </w:tc>
      </w:tr>
      <w:tr w:rsidR="00D200D4" w:rsidTr="00D200D4">
        <w:trPr>
          <w:trHeight w:val="668"/>
        </w:trPr>
        <w:tc>
          <w:tcPr>
            <w:tcW w:w="4788" w:type="dxa"/>
          </w:tcPr>
          <w:p w:rsidR="00D200D4" w:rsidRDefault="00D200D4">
            <w:pPr>
              <w:pStyle w:val="Default"/>
              <w:rPr>
                <w:b/>
                <w:bCs/>
                <w:sz w:val="20"/>
                <w:szCs w:val="20"/>
              </w:rPr>
            </w:pPr>
          </w:p>
          <w:p w:rsidR="00D200D4" w:rsidRDefault="00D200D4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Competenza </w:t>
            </w:r>
          </w:p>
          <w:p w:rsidR="00D200D4" w:rsidRDefault="00D200D4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Ricavare informazioni dall’analisi di vari tipi di fonti. </w:t>
            </w:r>
          </w:p>
        </w:tc>
        <w:tc>
          <w:tcPr>
            <w:tcW w:w="4788" w:type="dxa"/>
          </w:tcPr>
          <w:p w:rsidR="00D200D4" w:rsidRDefault="00D200D4">
            <w:pPr>
              <w:pStyle w:val="Default"/>
              <w:rPr>
                <w:sz w:val="20"/>
                <w:szCs w:val="20"/>
              </w:rPr>
            </w:pPr>
          </w:p>
          <w:p w:rsidR="00D200D4" w:rsidRDefault="00D200D4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Usare fonti storiche per ricavare informazioni. </w:t>
            </w:r>
          </w:p>
        </w:tc>
        <w:tc>
          <w:tcPr>
            <w:tcW w:w="4788" w:type="dxa"/>
          </w:tcPr>
          <w:p w:rsidR="00D200D4" w:rsidRDefault="00D200D4">
            <w:pPr>
              <w:pStyle w:val="Default"/>
              <w:rPr>
                <w:b/>
                <w:bCs/>
                <w:sz w:val="20"/>
                <w:szCs w:val="20"/>
              </w:rPr>
            </w:pPr>
          </w:p>
          <w:p w:rsidR="00D200D4" w:rsidRDefault="00D200D4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Nucleo 1: Uso delle fonti. </w:t>
            </w:r>
          </w:p>
          <w:p w:rsidR="00D200D4" w:rsidRDefault="00D200D4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Il lavoro dello storico ed i suoi collaboratori. </w:t>
            </w:r>
          </w:p>
          <w:p w:rsidR="00D200D4" w:rsidRDefault="00D200D4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Le fonti storiche. </w:t>
            </w:r>
          </w:p>
          <w:p w:rsidR="00D200D4" w:rsidRDefault="00D200D4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La storia o una storia?</w:t>
            </w:r>
            <w:bookmarkStart w:id="0" w:name="_GoBack"/>
            <w:bookmarkEnd w:id="0"/>
          </w:p>
          <w:p w:rsidR="00D200D4" w:rsidRDefault="00D200D4">
            <w:pPr>
              <w:pStyle w:val="Default"/>
              <w:rPr>
                <w:b/>
                <w:bCs/>
                <w:sz w:val="20"/>
                <w:szCs w:val="20"/>
              </w:rPr>
            </w:pPr>
          </w:p>
          <w:p w:rsidR="00D200D4" w:rsidRDefault="00D200D4">
            <w:pPr>
              <w:pStyle w:val="Default"/>
              <w:rPr>
                <w:sz w:val="20"/>
                <w:szCs w:val="20"/>
              </w:rPr>
            </w:pPr>
          </w:p>
        </w:tc>
      </w:tr>
      <w:tr w:rsidR="00D200D4" w:rsidTr="00D200D4">
        <w:trPr>
          <w:trHeight w:val="1015"/>
        </w:trPr>
        <w:tc>
          <w:tcPr>
            <w:tcW w:w="4788" w:type="dxa"/>
          </w:tcPr>
          <w:p w:rsidR="00D200D4" w:rsidRDefault="00D200D4">
            <w:pPr>
              <w:pStyle w:val="Default"/>
              <w:rPr>
                <w:b/>
                <w:bCs/>
                <w:sz w:val="20"/>
                <w:szCs w:val="20"/>
              </w:rPr>
            </w:pPr>
          </w:p>
          <w:p w:rsidR="00D200D4" w:rsidRDefault="00D200D4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Competenza </w:t>
            </w:r>
          </w:p>
          <w:p w:rsidR="00D200D4" w:rsidRDefault="00D200D4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Stabilire relazioni tra i fatti storici. </w:t>
            </w:r>
          </w:p>
        </w:tc>
        <w:tc>
          <w:tcPr>
            <w:tcW w:w="4788" w:type="dxa"/>
          </w:tcPr>
          <w:p w:rsidR="00D200D4" w:rsidRDefault="00D200D4">
            <w:pPr>
              <w:pStyle w:val="Default"/>
              <w:rPr>
                <w:sz w:val="20"/>
                <w:szCs w:val="20"/>
              </w:rPr>
            </w:pPr>
          </w:p>
          <w:p w:rsidR="00D200D4" w:rsidRDefault="00D200D4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Utilizzare la linea del tempo, carte storico-geografiche per collocare, rappresentare, mettere in relazione fatti ed eventi. </w:t>
            </w:r>
          </w:p>
          <w:p w:rsidR="00D200D4" w:rsidRDefault="00D200D4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Conoscere la funzione e l’uso convenzionale per le misurazioni del tempo. </w:t>
            </w:r>
          </w:p>
        </w:tc>
        <w:tc>
          <w:tcPr>
            <w:tcW w:w="4788" w:type="dxa"/>
          </w:tcPr>
          <w:p w:rsidR="00D200D4" w:rsidRDefault="00D200D4">
            <w:pPr>
              <w:pStyle w:val="Default"/>
              <w:rPr>
                <w:b/>
                <w:bCs/>
                <w:sz w:val="20"/>
                <w:szCs w:val="20"/>
              </w:rPr>
            </w:pPr>
          </w:p>
          <w:p w:rsidR="00D200D4" w:rsidRDefault="00D200D4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Nucleo 2: Organizzazione delle informazioni. </w:t>
            </w:r>
          </w:p>
          <w:p w:rsidR="00D200D4" w:rsidRDefault="00D200D4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Origine dell’Universo e della Terra. </w:t>
            </w:r>
          </w:p>
          <w:p w:rsidR="00D200D4" w:rsidRDefault="00D200D4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Ere geologiche. </w:t>
            </w:r>
          </w:p>
          <w:p w:rsidR="00D200D4" w:rsidRDefault="00D200D4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Comparsa ed evoluzione degli esseri viventi. </w:t>
            </w:r>
          </w:p>
          <w:p w:rsidR="00D200D4" w:rsidRDefault="00D200D4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I fossili. </w:t>
            </w:r>
          </w:p>
          <w:p w:rsidR="00D200D4" w:rsidRDefault="00D200D4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Conoscenza delle caratteristiche generali di alcuni dinosauri. </w:t>
            </w:r>
          </w:p>
          <w:p w:rsidR="00D200D4" w:rsidRDefault="00D200D4">
            <w:pPr>
              <w:pStyle w:val="Defaul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L’evoluzione dell’uomo. </w:t>
            </w:r>
          </w:p>
          <w:p w:rsidR="00D200D4" w:rsidRDefault="00D200D4">
            <w:pPr>
              <w:pStyle w:val="Default"/>
              <w:rPr>
                <w:sz w:val="20"/>
                <w:szCs w:val="20"/>
              </w:rPr>
            </w:pPr>
          </w:p>
        </w:tc>
      </w:tr>
      <w:tr w:rsidR="00D200D4" w:rsidTr="00D200D4">
        <w:trPr>
          <w:trHeight w:val="898"/>
        </w:trPr>
        <w:tc>
          <w:tcPr>
            <w:tcW w:w="4788" w:type="dxa"/>
          </w:tcPr>
          <w:p w:rsidR="00D200D4" w:rsidRDefault="00D200D4">
            <w:pPr>
              <w:pStyle w:val="Default"/>
              <w:rPr>
                <w:b/>
                <w:bCs/>
                <w:sz w:val="20"/>
                <w:szCs w:val="20"/>
              </w:rPr>
            </w:pPr>
          </w:p>
          <w:p w:rsidR="00D200D4" w:rsidRDefault="00D200D4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Competenza </w:t>
            </w:r>
          </w:p>
          <w:p w:rsidR="00D200D4" w:rsidRDefault="00D200D4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Conoscere, comprendere e confrontare l’organizzazione e le regole di una società. </w:t>
            </w:r>
          </w:p>
        </w:tc>
        <w:tc>
          <w:tcPr>
            <w:tcW w:w="4788" w:type="dxa"/>
          </w:tcPr>
          <w:p w:rsidR="00D200D4" w:rsidRDefault="00D200D4">
            <w:pPr>
              <w:pStyle w:val="Default"/>
              <w:rPr>
                <w:sz w:val="20"/>
                <w:szCs w:val="20"/>
              </w:rPr>
            </w:pPr>
          </w:p>
          <w:p w:rsidR="00D200D4" w:rsidRDefault="00D200D4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Conoscere gli elementi che sono alla base di una società. </w:t>
            </w:r>
          </w:p>
        </w:tc>
        <w:tc>
          <w:tcPr>
            <w:tcW w:w="4788" w:type="dxa"/>
          </w:tcPr>
          <w:p w:rsidR="00D200D4" w:rsidRDefault="00D200D4">
            <w:pPr>
              <w:pStyle w:val="Default"/>
              <w:rPr>
                <w:b/>
                <w:bCs/>
                <w:sz w:val="20"/>
                <w:szCs w:val="20"/>
              </w:rPr>
            </w:pPr>
          </w:p>
          <w:p w:rsidR="00D200D4" w:rsidRDefault="00D200D4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Nucleo 3: Strumenti concettuali. </w:t>
            </w:r>
          </w:p>
          <w:p w:rsidR="00D200D4" w:rsidRDefault="00D200D4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Preistoria: inizio, fine e periodizzazione. </w:t>
            </w:r>
          </w:p>
          <w:p w:rsidR="00D200D4" w:rsidRDefault="00D200D4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Paleolitico: attività dell’uomo, la scoperta del fuoco e la sua utilità, vita di gruppo, nomadismo e abitazioni, pratiche cultuali e prime espressioni artistiche. </w:t>
            </w:r>
          </w:p>
          <w:p w:rsidR="00D200D4" w:rsidRDefault="00D200D4">
            <w:pPr>
              <w:pStyle w:val="Defaul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Il Neolitico: attività dell’uomo, vita stanziale, organizzazione. </w:t>
            </w:r>
          </w:p>
          <w:p w:rsidR="00D200D4" w:rsidRDefault="00D200D4">
            <w:pPr>
              <w:pStyle w:val="Default"/>
              <w:rPr>
                <w:sz w:val="20"/>
                <w:szCs w:val="20"/>
              </w:rPr>
            </w:pPr>
          </w:p>
        </w:tc>
      </w:tr>
      <w:tr w:rsidR="00D200D4" w:rsidTr="00D200D4">
        <w:trPr>
          <w:trHeight w:val="783"/>
        </w:trPr>
        <w:tc>
          <w:tcPr>
            <w:tcW w:w="4788" w:type="dxa"/>
          </w:tcPr>
          <w:p w:rsidR="00D200D4" w:rsidRDefault="00D200D4">
            <w:pPr>
              <w:pStyle w:val="Default"/>
              <w:rPr>
                <w:b/>
                <w:bCs/>
                <w:sz w:val="20"/>
                <w:szCs w:val="20"/>
              </w:rPr>
            </w:pPr>
          </w:p>
          <w:p w:rsidR="00D200D4" w:rsidRDefault="00D200D4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Competenza </w:t>
            </w:r>
          </w:p>
          <w:p w:rsidR="00D200D4" w:rsidRDefault="00D200D4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Comprendere e rielaborare le conoscenze apprese attraverso i vari linguaggi. </w:t>
            </w:r>
          </w:p>
        </w:tc>
        <w:tc>
          <w:tcPr>
            <w:tcW w:w="4788" w:type="dxa"/>
          </w:tcPr>
          <w:p w:rsidR="00D200D4" w:rsidRDefault="00D200D4">
            <w:pPr>
              <w:pStyle w:val="Default"/>
              <w:rPr>
                <w:sz w:val="20"/>
                <w:szCs w:val="20"/>
              </w:rPr>
            </w:pPr>
          </w:p>
          <w:p w:rsidR="00D200D4" w:rsidRDefault="00D200D4">
            <w:pPr>
              <w:pStyle w:val="Default"/>
              <w:rPr>
                <w:sz w:val="23"/>
                <w:szCs w:val="23"/>
              </w:rPr>
            </w:pPr>
            <w:r>
              <w:rPr>
                <w:sz w:val="20"/>
                <w:szCs w:val="20"/>
              </w:rPr>
              <w:t>Rielaborare conoscenze apprese attraverso mappe concettuali, testi storici, esposizioni orali utilizzando un linguaggio settoriale</w:t>
            </w:r>
            <w:r>
              <w:rPr>
                <w:sz w:val="23"/>
                <w:szCs w:val="23"/>
              </w:rPr>
              <w:t xml:space="preserve">. </w:t>
            </w:r>
          </w:p>
        </w:tc>
        <w:tc>
          <w:tcPr>
            <w:tcW w:w="4788" w:type="dxa"/>
          </w:tcPr>
          <w:p w:rsidR="00D200D4" w:rsidRDefault="00D200D4">
            <w:pPr>
              <w:pStyle w:val="Default"/>
              <w:rPr>
                <w:b/>
                <w:bCs/>
                <w:sz w:val="20"/>
                <w:szCs w:val="20"/>
              </w:rPr>
            </w:pPr>
          </w:p>
          <w:p w:rsidR="00D200D4" w:rsidRDefault="00D200D4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Nucleo 4: Produzione scritta e orale. </w:t>
            </w:r>
          </w:p>
          <w:p w:rsidR="00D200D4" w:rsidRDefault="00D200D4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Ricerche individuali e di gruppo. </w:t>
            </w:r>
          </w:p>
          <w:p w:rsidR="00D200D4" w:rsidRDefault="00D200D4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Formulazione di ipotesi. </w:t>
            </w:r>
          </w:p>
          <w:p w:rsidR="00D200D4" w:rsidRDefault="00D200D4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Verbalizzazioni orali e scritte. </w:t>
            </w:r>
          </w:p>
          <w:p w:rsidR="00D200D4" w:rsidRDefault="00D200D4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Realizzazione di mappe concettuali riepilogative. </w:t>
            </w:r>
          </w:p>
          <w:p w:rsidR="00D200D4" w:rsidRDefault="00D200D4" w:rsidP="00D200D4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Schede strutturate. </w:t>
            </w:r>
          </w:p>
        </w:tc>
      </w:tr>
    </w:tbl>
    <w:p w:rsidR="003848FD" w:rsidRDefault="003848FD" w:rsidP="00057240"/>
    <w:sectPr w:rsidR="003848FD" w:rsidSect="00D200D4">
      <w:pgSz w:w="16838" w:h="11906" w:orient="landscape"/>
      <w:pgMar w:top="284" w:right="1417" w:bottom="85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drawingGridHorizontalSpacing w:val="110"/>
  <w:displayHorizontalDrawingGridEvery w:val="2"/>
  <w:characterSpacingControl w:val="doNotCompress"/>
  <w:compat/>
  <w:rsids>
    <w:rsidRoot w:val="00D200D4"/>
    <w:rsid w:val="00057240"/>
    <w:rsid w:val="0023590E"/>
    <w:rsid w:val="003848FD"/>
    <w:rsid w:val="007E4AF8"/>
    <w:rsid w:val="00997346"/>
    <w:rsid w:val="00C04F52"/>
    <w:rsid w:val="00D200D4"/>
    <w:rsid w:val="00E422B1"/>
    <w:rsid w:val="00F353E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848FD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D200D4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styleId="Grigliatabella">
    <w:name w:val="Table Grid"/>
    <w:basedOn w:val="Tabellanormale"/>
    <w:uiPriority w:val="59"/>
    <w:rsid w:val="00D200D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275</Words>
  <Characters>1569</Characters>
  <Application>Microsoft Office Word</Application>
  <DocSecurity>0</DocSecurity>
  <Lines>13</Lines>
  <Paragraphs>3</Paragraphs>
  <ScaleCrop>false</ScaleCrop>
  <Company> </Company>
  <LinksUpToDate>false</LinksUpToDate>
  <CharactersWithSpaces>1841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pina</cp:lastModifiedBy>
  <cp:revision>8</cp:revision>
  <dcterms:created xsi:type="dcterms:W3CDTF">2017-01-10T10:45:00Z</dcterms:created>
  <dcterms:modified xsi:type="dcterms:W3CDTF">2019-11-09T18:14:00Z</dcterms:modified>
</cp:coreProperties>
</file>